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CD8" w:rsidRPr="003B0473" w:rsidRDefault="00255CD8" w:rsidP="00255CD8">
      <w:pPr>
        <w:spacing w:before="100" w:beforeAutospacing="1" w:after="120" w:line="240" w:lineRule="auto"/>
        <w:rPr>
          <w:rFonts w:cstheme="minorHAnsi"/>
          <w:sz w:val="24"/>
          <w:szCs w:val="24"/>
        </w:rPr>
      </w:pPr>
      <w:r w:rsidRPr="003B0473">
        <w:rPr>
          <w:rFonts w:cstheme="minorHAnsi"/>
          <w:b/>
          <w:sz w:val="24"/>
          <w:szCs w:val="24"/>
        </w:rPr>
        <w:t>Ellen Rutledge, Esq.</w:t>
      </w:r>
      <w:r w:rsidRPr="003B0473">
        <w:rPr>
          <w:rFonts w:cstheme="minorHAnsi"/>
          <w:sz w:val="24"/>
          <w:szCs w:val="24"/>
        </w:rPr>
        <w:t xml:space="preserve"> </w:t>
      </w:r>
      <w:r w:rsidR="003B0473" w:rsidRPr="003B0473">
        <w:rPr>
          <w:rFonts w:cstheme="minorHAnsi"/>
          <w:sz w:val="24"/>
          <w:szCs w:val="24"/>
        </w:rPr>
        <w:t>Young Williams</w:t>
      </w:r>
      <w:r w:rsidRPr="003B0473">
        <w:rPr>
          <w:rFonts w:cstheme="minorHAnsi"/>
          <w:sz w:val="24"/>
          <w:szCs w:val="24"/>
        </w:rPr>
        <w:t xml:space="preserve">’ Professional Development Coordinator, uses her experience as a child support attorney and project manager to develop training and professional development activities. Her efforts support project managers and attorneys grow and develop into leaders within the company and the child support community. Ellen is the current President of the Western Intergovernmental Child Support Engagement Council (WICSEC). Ellen graduated from the University of Missouri School of Journalism, making her a member of the Mizzou Mafia. She is also a proud Wyoming Cowboy, having graduated from the University of Wyoming College of Law. </w:t>
      </w:r>
    </w:p>
    <w:p w:rsidR="00255CD8" w:rsidRPr="003B0473" w:rsidRDefault="00255CD8" w:rsidP="00255CD8">
      <w:pPr>
        <w:spacing w:before="100" w:beforeAutospacing="1" w:after="120" w:line="240" w:lineRule="auto"/>
        <w:rPr>
          <w:rFonts w:cstheme="minorHAnsi"/>
          <w:b/>
          <w:sz w:val="24"/>
          <w:szCs w:val="24"/>
        </w:rPr>
      </w:pPr>
      <w:r w:rsidRPr="003B0473">
        <w:rPr>
          <w:rFonts w:cstheme="minorHAnsi"/>
          <w:b/>
          <w:sz w:val="24"/>
          <w:szCs w:val="24"/>
        </w:rPr>
        <w:t>Charles H. (Chuck) Lonardo, Esq.</w:t>
      </w:r>
      <w:r w:rsidRPr="003B0473">
        <w:rPr>
          <w:rFonts w:cstheme="minorHAnsi"/>
          <w:sz w:val="24"/>
          <w:szCs w:val="24"/>
        </w:rPr>
        <w:t xml:space="preserve"> is a solo practitioner in Joplin, Missouri.  He earned his Bachelor of Science cum laude in Broadcast Journalism in 1977 and his J.D. in 1981, both from Syracuse University.  He practiced in Providence, Rhode Island for three years before becoming a member of The Missouri Bar in 1984.  He chairs the Find-A-Lawyer Advisory Committee </w:t>
      </w:r>
      <w:r w:rsidRPr="003B0473">
        <w:rPr>
          <w:rFonts w:cstheme="minorHAnsi"/>
          <w:sz w:val="24"/>
          <w:szCs w:val="24"/>
        </w:rPr>
        <w:br/>
        <w:t xml:space="preserve">(formerly the Lawyer Referral Service Committee) of The Missouri Bar, and is active in </w:t>
      </w:r>
      <w:proofErr w:type="spellStart"/>
      <w:r w:rsidRPr="003B0473">
        <w:rPr>
          <w:rFonts w:cstheme="minorHAnsi"/>
          <w:sz w:val="24"/>
          <w:szCs w:val="24"/>
        </w:rPr>
        <w:t>MoBar's</w:t>
      </w:r>
      <w:proofErr w:type="spellEnd"/>
      <w:r w:rsidRPr="003B0473">
        <w:rPr>
          <w:rFonts w:cstheme="minorHAnsi"/>
          <w:sz w:val="24"/>
          <w:szCs w:val="24"/>
        </w:rPr>
        <w:t xml:space="preserve"> Lawyer Assistance Committee and Family Law Section. He is also the Municipal Judge in Duenweg, Missouri and a Provisional Municipal Judge in Joplin.  He is on the Board of Directors of the Missouri Municipal and Associate Judges Association (MMACJA).  In his spare time, Chuck is a referee instructor, mentor and assessor for U.S. Soccer and the National Intercollegiate Soccer Officials Association (NISOA).</w:t>
      </w:r>
    </w:p>
    <w:p w:rsidR="001154DE" w:rsidRPr="003B0473" w:rsidRDefault="001154DE" w:rsidP="001154DE">
      <w:pPr>
        <w:spacing w:line="252" w:lineRule="auto"/>
        <w:rPr>
          <w:rFonts w:ascii="Calibri" w:eastAsia="Calibri" w:hAnsi="Calibri" w:cs="Calibri"/>
          <w:sz w:val="24"/>
          <w:szCs w:val="24"/>
        </w:rPr>
      </w:pPr>
      <w:r w:rsidRPr="003B0473">
        <w:rPr>
          <w:rFonts w:ascii="Calibri" w:eastAsia="Calibri" w:hAnsi="Calibri" w:cs="Calibri"/>
          <w:b/>
          <w:bCs/>
          <w:sz w:val="24"/>
          <w:szCs w:val="24"/>
        </w:rPr>
        <w:t>Seth Bauman</w:t>
      </w:r>
      <w:r w:rsidRPr="003B0473">
        <w:rPr>
          <w:rFonts w:ascii="Calibri" w:eastAsia="Calibri" w:hAnsi="Calibri" w:cs="Calibri"/>
          <w:sz w:val="24"/>
          <w:szCs w:val="24"/>
        </w:rPr>
        <w:t xml:space="preserve"> serves as the Assistant Deputy Director for the Missouri Family Support Division. Seth helps provide executive leadership for strategic performance, change management and communications for the Director’s Office. Prior to FSD, he was appointed the Director of the Office of Equal Opportunity (Chief Diversity Officer) for the Missouri Office of Administration and served on the State Personnel Advisory Board. Throughout his career, he has held various roles working with state and local officials to enhance positive outcomes for children, youth and families by reducing social and racial disparities. He is a co-founder of the Cole County Youth Day and active with the Governor’s Student Leadership Forum on Faith and Values, Jefferson City Public Schools Equity Council and other City Council Commissions and community activities. He obtained a Master of Public Administration from Mizzou and a B.A. in Religion from Central Methodist University and is pursuing his Doctorate in Organizational Change and Leadership from University of Southern California (USC). Above all, he believes true success is the ability to create opportunity and success for others. </w:t>
      </w:r>
    </w:p>
    <w:p w:rsidR="00255CD8" w:rsidRPr="003B0473" w:rsidRDefault="00255CD8" w:rsidP="00255CD8">
      <w:pPr>
        <w:spacing w:before="100" w:beforeAutospacing="1" w:after="120" w:line="240" w:lineRule="auto"/>
        <w:rPr>
          <w:rFonts w:cstheme="minorHAnsi"/>
          <w:sz w:val="24"/>
          <w:szCs w:val="24"/>
        </w:rPr>
      </w:pPr>
      <w:r w:rsidRPr="003B0473">
        <w:rPr>
          <w:rFonts w:cstheme="minorHAnsi"/>
          <w:b/>
          <w:sz w:val="24"/>
          <w:szCs w:val="24"/>
        </w:rPr>
        <w:t>John Lynch, Esq.</w:t>
      </w:r>
      <w:r w:rsidRPr="003B0473">
        <w:rPr>
          <w:rFonts w:cstheme="minorHAnsi"/>
          <w:sz w:val="24"/>
          <w:szCs w:val="24"/>
        </w:rPr>
        <w:t xml:space="preserve"> is an assistant attorney general in St. Louis.  He has been serving with the Attorney General's Office for 30 years.  In the beginning, he did general litigation in state and federal courts.  In the last fifteen years, he has been doing child support work.  He and ten other colleagues represent FSD in courts in all of Missouri's counties.  </w:t>
      </w:r>
    </w:p>
    <w:p w:rsidR="00255CD8" w:rsidRPr="003B0473" w:rsidRDefault="00255CD8" w:rsidP="00255CD8">
      <w:pPr>
        <w:shd w:val="clear" w:color="auto" w:fill="FFFFFF"/>
        <w:spacing w:before="100" w:beforeAutospacing="1" w:after="120" w:line="240" w:lineRule="auto"/>
        <w:rPr>
          <w:rFonts w:cstheme="minorHAnsi"/>
          <w:sz w:val="24"/>
          <w:szCs w:val="24"/>
        </w:rPr>
      </w:pPr>
      <w:r w:rsidRPr="003B0473">
        <w:rPr>
          <w:rFonts w:cstheme="minorHAnsi"/>
          <w:b/>
          <w:bCs/>
          <w:sz w:val="24"/>
          <w:szCs w:val="24"/>
        </w:rPr>
        <w:t>Dan Pingelton, Esq.</w:t>
      </w:r>
      <w:r w:rsidRPr="003B0473">
        <w:rPr>
          <w:rFonts w:cstheme="minorHAnsi"/>
          <w:sz w:val="24"/>
          <w:szCs w:val="24"/>
        </w:rPr>
        <w:t xml:space="preserve"> is an attorney in private practice in Columbia, Missouri, concentrating on civil litigation and family law. From 1986 to 1998, he was a contract and part-time staff attorney for the Division of Child Support Enforcement.  He graduated from Arizona State University in 1981 with a degree in Journalism, and received his law degree from the University of Colorado in 1984. </w:t>
      </w:r>
      <w:r w:rsidRPr="003B0473">
        <w:rPr>
          <w:rFonts w:cstheme="minorHAnsi"/>
          <w:sz w:val="24"/>
          <w:szCs w:val="24"/>
        </w:rPr>
        <w:lastRenderedPageBreak/>
        <w:t>Mr. Pingelton wrote the first state-level administrative hearing decision for the Department of Elementary and Secondary Education to be published in the national Education of the Handicapped Law Reporter. He served for 18 years as a hearing officer pursuant to the Individuals with Disabilities Education Act. Some of Dan’s reported cases include </w:t>
      </w:r>
      <w:r w:rsidRPr="003B0473">
        <w:rPr>
          <w:rFonts w:cstheme="minorHAnsi"/>
          <w:i/>
          <w:iCs/>
          <w:sz w:val="24"/>
          <w:szCs w:val="24"/>
        </w:rPr>
        <w:t>Dye v. Missouri Division of Child Support Enforcement,</w:t>
      </w:r>
      <w:r w:rsidRPr="003B0473">
        <w:rPr>
          <w:rFonts w:cstheme="minorHAnsi"/>
          <w:sz w:val="24"/>
          <w:szCs w:val="24"/>
        </w:rPr>
        <w:t> 811 S.W.2d 355 (</w:t>
      </w:r>
      <w:proofErr w:type="spellStart"/>
      <w:r w:rsidRPr="003B0473">
        <w:rPr>
          <w:rFonts w:cstheme="minorHAnsi"/>
          <w:sz w:val="24"/>
          <w:szCs w:val="24"/>
        </w:rPr>
        <w:t>Mo.</w:t>
      </w:r>
      <w:r w:rsidRPr="003B0473">
        <w:rPr>
          <w:rFonts w:cstheme="minorHAnsi"/>
          <w:i/>
          <w:iCs/>
          <w:sz w:val="24"/>
          <w:szCs w:val="24"/>
        </w:rPr>
        <w:t>banc</w:t>
      </w:r>
      <w:proofErr w:type="spellEnd"/>
      <w:r w:rsidRPr="003B0473">
        <w:rPr>
          <w:rFonts w:cstheme="minorHAnsi"/>
          <w:sz w:val="24"/>
          <w:szCs w:val="24"/>
        </w:rPr>
        <w:t> 1981) [constitutionality of administrative child support enforcement statutes]; </w:t>
      </w:r>
      <w:r w:rsidRPr="003B0473">
        <w:rPr>
          <w:rFonts w:cstheme="minorHAnsi"/>
          <w:i/>
          <w:iCs/>
          <w:sz w:val="24"/>
          <w:szCs w:val="24"/>
        </w:rPr>
        <w:t>Baird v. Baird</w:t>
      </w:r>
      <w:r w:rsidRPr="003B0473">
        <w:rPr>
          <w:rFonts w:cstheme="minorHAnsi"/>
          <w:sz w:val="24"/>
          <w:szCs w:val="24"/>
        </w:rPr>
        <w:t>, 843 S.W.2d 388 (</w:t>
      </w:r>
      <w:proofErr w:type="spellStart"/>
      <w:r w:rsidRPr="003B0473">
        <w:rPr>
          <w:rFonts w:cstheme="minorHAnsi"/>
          <w:sz w:val="24"/>
          <w:szCs w:val="24"/>
        </w:rPr>
        <w:t>Mo.App.E.D</w:t>
      </w:r>
      <w:proofErr w:type="spellEnd"/>
      <w:r w:rsidRPr="003B0473">
        <w:rPr>
          <w:rFonts w:cstheme="minorHAnsi"/>
          <w:sz w:val="24"/>
          <w:szCs w:val="24"/>
        </w:rPr>
        <w:t>. 1992) [first Missouri case confirming use of a Qualified Domestic Relations Order to seize ERISA retirement funds for child support and maintenance arrears]; </w:t>
      </w:r>
      <w:r w:rsidRPr="003B0473">
        <w:rPr>
          <w:rFonts w:cstheme="minorHAnsi"/>
          <w:i/>
          <w:iCs/>
          <w:sz w:val="24"/>
          <w:szCs w:val="24"/>
        </w:rPr>
        <w:t>McCreary v. McCreary</w:t>
      </w:r>
      <w:r w:rsidRPr="003B0473">
        <w:rPr>
          <w:rFonts w:cstheme="minorHAnsi"/>
          <w:sz w:val="24"/>
          <w:szCs w:val="24"/>
        </w:rPr>
        <w:t>, 954 S.W.2d 433 (</w:t>
      </w:r>
      <w:proofErr w:type="spellStart"/>
      <w:r w:rsidRPr="003B0473">
        <w:rPr>
          <w:rFonts w:cstheme="minorHAnsi"/>
          <w:sz w:val="24"/>
          <w:szCs w:val="24"/>
        </w:rPr>
        <w:t>Mo.App.W.D</w:t>
      </w:r>
      <w:proofErr w:type="spellEnd"/>
      <w:r w:rsidRPr="003B0473">
        <w:rPr>
          <w:rFonts w:cstheme="minorHAnsi"/>
          <w:sz w:val="24"/>
          <w:szCs w:val="24"/>
        </w:rPr>
        <w:t>. 1997) [multiple issues including proper standard for modification of custody; proper use of remedy of equitable accounting in a fiduciary relationship for child support; mandatory award of attorney fees; and liability for medical expense reimbursement]; and </w:t>
      </w:r>
      <w:r w:rsidRPr="003B0473">
        <w:rPr>
          <w:rFonts w:cstheme="minorHAnsi"/>
          <w:i/>
          <w:iCs/>
          <w:sz w:val="24"/>
          <w:szCs w:val="24"/>
        </w:rPr>
        <w:t>M.D. v. J.J</w:t>
      </w:r>
      <w:r w:rsidRPr="003B0473">
        <w:rPr>
          <w:rFonts w:cstheme="minorHAnsi"/>
          <w:sz w:val="24"/>
          <w:szCs w:val="24"/>
        </w:rPr>
        <w:t>., 30 S.W.3d 215 (</w:t>
      </w:r>
      <w:proofErr w:type="spellStart"/>
      <w:r w:rsidRPr="003B0473">
        <w:rPr>
          <w:rFonts w:cstheme="minorHAnsi"/>
          <w:sz w:val="24"/>
          <w:szCs w:val="24"/>
        </w:rPr>
        <w:t>Mo.App.W.D</w:t>
      </w:r>
      <w:proofErr w:type="spellEnd"/>
      <w:r w:rsidRPr="003B0473">
        <w:rPr>
          <w:rFonts w:cstheme="minorHAnsi"/>
          <w:sz w:val="24"/>
          <w:szCs w:val="24"/>
        </w:rPr>
        <w:t>. 2000) [established Missouri precedent that an unmarried person can recover damages for negligent transmission of the herpes virus].</w:t>
      </w:r>
    </w:p>
    <w:p w:rsidR="00255CD8" w:rsidRPr="003B0473" w:rsidRDefault="00255CD8" w:rsidP="00255CD8">
      <w:pPr>
        <w:shd w:val="clear" w:color="auto" w:fill="FFFFFF"/>
        <w:spacing w:before="100" w:beforeAutospacing="1" w:after="120" w:line="240" w:lineRule="auto"/>
        <w:rPr>
          <w:rFonts w:cstheme="minorHAnsi"/>
          <w:sz w:val="24"/>
          <w:szCs w:val="24"/>
        </w:rPr>
      </w:pPr>
      <w:r w:rsidRPr="003B0473">
        <w:rPr>
          <w:rFonts w:cstheme="minorHAnsi"/>
          <w:sz w:val="24"/>
          <w:szCs w:val="24"/>
        </w:rPr>
        <w:t>Dan has presented continuing legal education seminars for The Missouri Bar as well as child support professionals both in Missouri and throughout the country, including national IV-D law reviews for the NCSEA in 2002 (New Orleans), 2003 (Orlando) and 2004 (Palm Springs). He wrote two chapters for Missouri Family Law, 6th ed., published by the Missouri Bar: Marital Settlement and Separation Agreements and The Division of Child Support Enforcement. He has just completed the seventh edition of both chapters, including an extensive revision of “Family Support Division.” He is a Past President and Honorary Life Member of the Missouri Child Support Enforcement Association.</w:t>
      </w:r>
    </w:p>
    <w:p w:rsidR="00255CD8" w:rsidRPr="003B0473" w:rsidRDefault="00255CD8" w:rsidP="00255CD8">
      <w:pPr>
        <w:spacing w:before="100" w:beforeAutospacing="1" w:after="120" w:line="240" w:lineRule="auto"/>
        <w:rPr>
          <w:rFonts w:cstheme="minorHAnsi"/>
          <w:sz w:val="24"/>
          <w:szCs w:val="24"/>
        </w:rPr>
      </w:pPr>
      <w:r w:rsidRPr="003B0473">
        <w:rPr>
          <w:rFonts w:cstheme="minorHAnsi"/>
          <w:b/>
          <w:sz w:val="24"/>
          <w:szCs w:val="24"/>
        </w:rPr>
        <w:t>Marta Tilney, Esq.</w:t>
      </w:r>
      <w:r w:rsidR="007D4169" w:rsidRPr="003B0473">
        <w:rPr>
          <w:rFonts w:cstheme="minorHAnsi"/>
          <w:b/>
          <w:sz w:val="24"/>
          <w:szCs w:val="24"/>
        </w:rPr>
        <w:t xml:space="preserve"> </w:t>
      </w:r>
      <w:r w:rsidR="007D4169" w:rsidRPr="003B0473">
        <w:rPr>
          <w:rFonts w:cstheme="minorHAnsi"/>
          <w:sz w:val="24"/>
          <w:szCs w:val="24"/>
        </w:rPr>
        <w:t>represents the interests of the Missouri Family Support Division as an assistant circuit attorney in the Child Support Unit where she engages in fruitless efforts to supervise a team of highly motivated, professional assistant circuit attorneys. For over 25 years she served as a contract lawyer and staff lawyer. In addition to her illusory management role, she provides support for the jail diversion program, and represents the Division in civil and criminal cases.</w:t>
      </w:r>
    </w:p>
    <w:p w:rsidR="009A2FCC" w:rsidRPr="009A2FCC" w:rsidRDefault="009A2FCC" w:rsidP="009A2FCC">
      <w:pPr>
        <w:spacing w:before="100" w:beforeAutospacing="1" w:after="120"/>
        <w:rPr>
          <w:sz w:val="24"/>
          <w:szCs w:val="24"/>
        </w:rPr>
      </w:pPr>
      <w:r>
        <w:rPr>
          <w:b/>
          <w:bCs/>
          <w:sz w:val="24"/>
          <w:szCs w:val="24"/>
        </w:rPr>
        <w:t xml:space="preserve">Mary Meyers, Esq. </w:t>
      </w:r>
      <w:r>
        <w:rPr>
          <w:sz w:val="24"/>
          <w:szCs w:val="24"/>
        </w:rPr>
        <w:t>is a prosecuting attorney in St. Louis County, and has been for over twenty years. She is a graduate of the University of North Texas and University of Iowa School of Law.</w:t>
      </w:r>
      <w:r>
        <w:rPr>
          <w:sz w:val="24"/>
          <w:szCs w:val="24"/>
        </w:rPr>
        <w:t xml:space="preserve"> </w:t>
      </w:r>
      <w:r w:rsidRPr="009A2FCC">
        <w:rPr>
          <w:sz w:val="24"/>
          <w:szCs w:val="24"/>
        </w:rPr>
        <w:t>During this session Mary will discuss the following topics regarding Jury Trials:</w:t>
      </w:r>
    </w:p>
    <w:p w:rsidR="009A2FCC" w:rsidRPr="009A2FCC" w:rsidRDefault="009A2FCC" w:rsidP="009A2FCC">
      <w:pPr>
        <w:pStyle w:val="ListParagraph"/>
        <w:numPr>
          <w:ilvl w:val="0"/>
          <w:numId w:val="1"/>
        </w:numPr>
        <w:rPr>
          <w:sz w:val="24"/>
          <w:szCs w:val="24"/>
        </w:rPr>
      </w:pPr>
      <w:r w:rsidRPr="009A2FCC">
        <w:rPr>
          <w:sz w:val="24"/>
          <w:szCs w:val="24"/>
        </w:rPr>
        <w:t>Opening statements</w:t>
      </w:r>
    </w:p>
    <w:p w:rsidR="009A2FCC" w:rsidRPr="009A2FCC" w:rsidRDefault="009A2FCC" w:rsidP="009A2FCC">
      <w:pPr>
        <w:pStyle w:val="ListParagraph"/>
        <w:numPr>
          <w:ilvl w:val="0"/>
          <w:numId w:val="1"/>
        </w:numPr>
        <w:rPr>
          <w:sz w:val="24"/>
          <w:szCs w:val="24"/>
        </w:rPr>
      </w:pPr>
      <w:r w:rsidRPr="009A2FCC">
        <w:rPr>
          <w:sz w:val="24"/>
          <w:szCs w:val="24"/>
        </w:rPr>
        <w:t>Jury instructions</w:t>
      </w:r>
    </w:p>
    <w:p w:rsidR="009A2FCC" w:rsidRPr="009A2FCC" w:rsidRDefault="009A2FCC" w:rsidP="009A2FCC">
      <w:pPr>
        <w:pStyle w:val="ListParagraph"/>
        <w:numPr>
          <w:ilvl w:val="0"/>
          <w:numId w:val="1"/>
        </w:numPr>
        <w:rPr>
          <w:sz w:val="24"/>
          <w:szCs w:val="24"/>
        </w:rPr>
      </w:pPr>
      <w:r w:rsidRPr="009A2FCC">
        <w:rPr>
          <w:sz w:val="24"/>
          <w:szCs w:val="24"/>
        </w:rPr>
        <w:t>Boiler plates</w:t>
      </w:r>
    </w:p>
    <w:p w:rsidR="009A2FCC" w:rsidRPr="009A2FCC" w:rsidRDefault="009A2FCC" w:rsidP="009A2FCC">
      <w:pPr>
        <w:pStyle w:val="ListParagraph"/>
        <w:numPr>
          <w:ilvl w:val="0"/>
          <w:numId w:val="1"/>
        </w:numPr>
        <w:rPr>
          <w:sz w:val="24"/>
          <w:szCs w:val="24"/>
        </w:rPr>
      </w:pPr>
      <w:r w:rsidRPr="009A2FCC">
        <w:rPr>
          <w:sz w:val="24"/>
          <w:szCs w:val="24"/>
        </w:rPr>
        <w:t>Direct examinations</w:t>
      </w:r>
    </w:p>
    <w:p w:rsidR="009A2FCC" w:rsidRPr="009A2FCC" w:rsidRDefault="009A2FCC" w:rsidP="009A2FCC">
      <w:pPr>
        <w:pStyle w:val="ListParagraph"/>
        <w:numPr>
          <w:ilvl w:val="0"/>
          <w:numId w:val="1"/>
        </w:numPr>
        <w:rPr>
          <w:sz w:val="24"/>
          <w:szCs w:val="24"/>
        </w:rPr>
      </w:pPr>
      <w:r w:rsidRPr="009A2FCC">
        <w:rPr>
          <w:sz w:val="24"/>
          <w:szCs w:val="24"/>
        </w:rPr>
        <w:t>Cross examinations</w:t>
      </w:r>
    </w:p>
    <w:p w:rsidR="009A2FCC" w:rsidRPr="009A2FCC" w:rsidRDefault="009A2FCC" w:rsidP="009A2FCC">
      <w:pPr>
        <w:pStyle w:val="ListParagraph"/>
        <w:numPr>
          <w:ilvl w:val="0"/>
          <w:numId w:val="1"/>
        </w:numPr>
        <w:rPr>
          <w:sz w:val="24"/>
          <w:szCs w:val="24"/>
        </w:rPr>
      </w:pPr>
      <w:r w:rsidRPr="009A2FCC">
        <w:rPr>
          <w:sz w:val="24"/>
          <w:szCs w:val="24"/>
        </w:rPr>
        <w:lastRenderedPageBreak/>
        <w:t>Witnesses</w:t>
      </w:r>
    </w:p>
    <w:p w:rsidR="009A2FCC" w:rsidRPr="009A2FCC" w:rsidRDefault="009A2FCC" w:rsidP="009A2FCC">
      <w:pPr>
        <w:pStyle w:val="ListParagraph"/>
        <w:numPr>
          <w:ilvl w:val="0"/>
          <w:numId w:val="1"/>
        </w:numPr>
        <w:rPr>
          <w:sz w:val="24"/>
          <w:szCs w:val="24"/>
        </w:rPr>
      </w:pPr>
      <w:r w:rsidRPr="009A2FCC">
        <w:rPr>
          <w:sz w:val="24"/>
          <w:szCs w:val="24"/>
        </w:rPr>
        <w:t>How to rebut</w:t>
      </w:r>
    </w:p>
    <w:p w:rsidR="009A2FCC" w:rsidRPr="009A2FCC" w:rsidRDefault="009A2FCC" w:rsidP="009A2FCC">
      <w:pPr>
        <w:pStyle w:val="ListParagraph"/>
        <w:numPr>
          <w:ilvl w:val="0"/>
          <w:numId w:val="1"/>
        </w:numPr>
        <w:rPr>
          <w:sz w:val="24"/>
          <w:szCs w:val="24"/>
        </w:rPr>
      </w:pPr>
      <w:r w:rsidRPr="009A2FCC">
        <w:rPr>
          <w:sz w:val="24"/>
          <w:szCs w:val="24"/>
        </w:rPr>
        <w:t>Affirmative scenarios</w:t>
      </w:r>
      <w:bookmarkStart w:id="0" w:name="_GoBack"/>
      <w:bookmarkEnd w:id="0"/>
    </w:p>
    <w:p w:rsidR="009A2FCC" w:rsidRPr="009A2FCC" w:rsidRDefault="009A2FCC" w:rsidP="009A2FCC">
      <w:pPr>
        <w:pStyle w:val="ListParagraph"/>
        <w:numPr>
          <w:ilvl w:val="0"/>
          <w:numId w:val="1"/>
        </w:numPr>
        <w:rPr>
          <w:sz w:val="24"/>
          <w:szCs w:val="24"/>
        </w:rPr>
      </w:pPr>
      <w:r w:rsidRPr="009A2FCC">
        <w:rPr>
          <w:sz w:val="24"/>
          <w:szCs w:val="24"/>
        </w:rPr>
        <w:t>Defensive scenarios</w:t>
      </w:r>
    </w:p>
    <w:p w:rsidR="009A2FCC" w:rsidRPr="009A2FCC" w:rsidRDefault="009A2FCC" w:rsidP="00255CD8">
      <w:pPr>
        <w:spacing w:before="100" w:beforeAutospacing="1" w:after="120" w:line="240" w:lineRule="auto"/>
        <w:rPr>
          <w:rFonts w:cstheme="minorHAnsi"/>
          <w:b/>
          <w:sz w:val="24"/>
          <w:szCs w:val="24"/>
        </w:rPr>
      </w:pPr>
    </w:p>
    <w:p w:rsidR="00255CD8" w:rsidRPr="009A2FCC" w:rsidRDefault="00255CD8" w:rsidP="00255CD8">
      <w:pPr>
        <w:spacing w:before="100" w:beforeAutospacing="1" w:after="120" w:line="240" w:lineRule="auto"/>
        <w:rPr>
          <w:rFonts w:cstheme="minorHAnsi"/>
          <w:sz w:val="24"/>
          <w:szCs w:val="24"/>
        </w:rPr>
      </w:pPr>
    </w:p>
    <w:p w:rsidR="00CC0982" w:rsidRPr="003B0473" w:rsidRDefault="009A2FCC">
      <w:pPr>
        <w:rPr>
          <w:sz w:val="24"/>
          <w:szCs w:val="24"/>
        </w:rPr>
      </w:pPr>
    </w:p>
    <w:sectPr w:rsidR="00CC0982" w:rsidRPr="003B0473" w:rsidSect="00D0734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376F"/>
    <w:multiLevelType w:val="multilevel"/>
    <w:tmpl w:val="CF50B7B4"/>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CD8"/>
    <w:rsid w:val="001154DE"/>
    <w:rsid w:val="00255CD8"/>
    <w:rsid w:val="002F435E"/>
    <w:rsid w:val="00341BFE"/>
    <w:rsid w:val="003B0473"/>
    <w:rsid w:val="00624594"/>
    <w:rsid w:val="007D4169"/>
    <w:rsid w:val="009A2FCC"/>
    <w:rsid w:val="00C0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E6A5"/>
  <w15:chartTrackingRefBased/>
  <w15:docId w15:val="{1C099694-B8D5-4137-9F88-8BA29DEB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FCC"/>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5832">
      <w:bodyDiv w:val="1"/>
      <w:marLeft w:val="0"/>
      <w:marRight w:val="0"/>
      <w:marTop w:val="0"/>
      <w:marBottom w:val="0"/>
      <w:divBdr>
        <w:top w:val="none" w:sz="0" w:space="0" w:color="auto"/>
        <w:left w:val="none" w:sz="0" w:space="0" w:color="auto"/>
        <w:bottom w:val="none" w:sz="0" w:space="0" w:color="auto"/>
        <w:right w:val="none" w:sz="0" w:space="0" w:color="auto"/>
      </w:divBdr>
    </w:div>
    <w:div w:id="502283468">
      <w:bodyDiv w:val="1"/>
      <w:marLeft w:val="0"/>
      <w:marRight w:val="0"/>
      <w:marTop w:val="0"/>
      <w:marBottom w:val="0"/>
      <w:divBdr>
        <w:top w:val="none" w:sz="0" w:space="0" w:color="auto"/>
        <w:left w:val="none" w:sz="0" w:space="0" w:color="auto"/>
        <w:bottom w:val="none" w:sz="0" w:space="0" w:color="auto"/>
        <w:right w:val="none" w:sz="0" w:space="0" w:color="auto"/>
      </w:divBdr>
    </w:div>
    <w:div w:id="1411273012">
      <w:bodyDiv w:val="1"/>
      <w:marLeft w:val="0"/>
      <w:marRight w:val="0"/>
      <w:marTop w:val="0"/>
      <w:marBottom w:val="0"/>
      <w:divBdr>
        <w:top w:val="none" w:sz="0" w:space="0" w:color="auto"/>
        <w:left w:val="none" w:sz="0" w:space="0" w:color="auto"/>
        <w:bottom w:val="none" w:sz="0" w:space="0" w:color="auto"/>
        <w:right w:val="none" w:sz="0" w:space="0" w:color="auto"/>
      </w:divBdr>
    </w:div>
    <w:div w:id="187696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Morrow-Kempf, Kerensa M</dc:creator>
  <cp:keywords/>
  <dc:description/>
  <cp:lastModifiedBy>Jackson, Kyle</cp:lastModifiedBy>
  <cp:revision>4</cp:revision>
  <dcterms:created xsi:type="dcterms:W3CDTF">2020-10-27T19:22:00Z</dcterms:created>
  <dcterms:modified xsi:type="dcterms:W3CDTF">2020-10-27T19:53:00Z</dcterms:modified>
</cp:coreProperties>
</file>